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40"/>
        <w:gridCol w:w="1089"/>
        <w:gridCol w:w="1651"/>
        <w:gridCol w:w="993"/>
      </w:tblGrid>
      <w:tr w:rsidR="004567BF" w:rsidRPr="004567BF" w:rsidTr="004567BF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67BF" w:rsidRPr="004567BF" w:rsidRDefault="004567BF" w:rsidP="004567BF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4567BF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98e:</w:t>
            </w:r>
            <w:r w:rsidRPr="004567BF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Expenses for Outcome 1 - Outcome 1 Totals by appropriation type</w:t>
            </w:r>
          </w:p>
        </w:tc>
      </w:tr>
      <w:tr w:rsidR="004567BF" w:rsidRPr="004567BF" w:rsidTr="004567BF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67BF" w:rsidRPr="004567BF" w:rsidRDefault="004567BF" w:rsidP="004567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4567B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67BF" w:rsidRPr="004567BF" w:rsidRDefault="004567BF" w:rsidP="004567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4567B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Budget</w:t>
            </w:r>
            <w:r w:rsidRPr="004567B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vertAlign w:val="superscript"/>
                <w:lang w:eastAsia="en-AU"/>
              </w:rPr>
              <w:t>1</w:t>
            </w:r>
            <w:r w:rsidRPr="004567B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$'000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67BF" w:rsidRPr="004567BF" w:rsidRDefault="004567BF" w:rsidP="004567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4567B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Actual expenses</w:t>
            </w:r>
            <w:r w:rsidRPr="004567B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$'000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67BF" w:rsidRPr="004567BF" w:rsidRDefault="004567BF" w:rsidP="004567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4567B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Variation</w:t>
            </w:r>
            <w:r w:rsidRPr="004567B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$'000</w:t>
            </w:r>
          </w:p>
        </w:tc>
      </w:tr>
      <w:tr w:rsidR="004567BF" w:rsidRPr="004567BF" w:rsidTr="004567BF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67BF" w:rsidRPr="004567BF" w:rsidRDefault="004567BF" w:rsidP="004567B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4567B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Outcome 1 Totals by appropriation type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67BF" w:rsidRPr="004567BF" w:rsidRDefault="004567BF" w:rsidP="004567B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4567B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(a)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67BF" w:rsidRPr="004567BF" w:rsidRDefault="004567BF" w:rsidP="004567B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4567B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(b)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67BF" w:rsidRPr="004567BF" w:rsidRDefault="004567BF" w:rsidP="004567B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4567B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(a)–(b)</w:t>
            </w:r>
          </w:p>
        </w:tc>
      </w:tr>
      <w:tr w:rsidR="004567BF" w:rsidRPr="004567BF" w:rsidTr="004567B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67BF" w:rsidRPr="004567BF" w:rsidRDefault="004567BF" w:rsidP="004567B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567B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Administered expenses - Ordinary annual services</w:t>
            </w:r>
            <w:r w:rsidRPr="004567B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br/>
              <w:t>(Appropriation Bills No’s. 1 and 3)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67BF" w:rsidRPr="004567BF" w:rsidRDefault="004567BF" w:rsidP="004567B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567B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14,714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67BF" w:rsidRPr="004567BF" w:rsidRDefault="004567BF" w:rsidP="004567B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567B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10,196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67BF" w:rsidRPr="004567BF" w:rsidRDefault="004567BF" w:rsidP="004567B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567B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4,518</w:t>
            </w:r>
          </w:p>
        </w:tc>
      </w:tr>
      <w:tr w:rsidR="004567BF" w:rsidRPr="004567BF" w:rsidTr="004567B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67BF" w:rsidRPr="004567BF" w:rsidRDefault="004567BF" w:rsidP="004567B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567B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Administered expenses - Special appropriations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67BF" w:rsidRPr="004567BF" w:rsidRDefault="004567BF" w:rsidP="004567B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567B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82,782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67BF" w:rsidRPr="004567BF" w:rsidRDefault="004567BF" w:rsidP="004567B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567B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69,184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67BF" w:rsidRPr="004567BF" w:rsidRDefault="004567BF" w:rsidP="004567B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567B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13,598</w:t>
            </w:r>
          </w:p>
        </w:tc>
      </w:tr>
      <w:tr w:rsidR="004567BF" w:rsidRPr="004567BF" w:rsidTr="004567B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67BF" w:rsidRPr="004567BF" w:rsidRDefault="004567BF" w:rsidP="004567B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567B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Administered expenses - Special accounts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67BF" w:rsidRPr="004567BF" w:rsidRDefault="004567BF" w:rsidP="004567B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567B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1,273,858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67BF" w:rsidRPr="004567BF" w:rsidRDefault="004567BF" w:rsidP="004567B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567B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1,272,326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67BF" w:rsidRPr="004567BF" w:rsidRDefault="004567BF" w:rsidP="004567B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567B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1,532</w:t>
            </w:r>
          </w:p>
        </w:tc>
      </w:tr>
      <w:tr w:rsidR="004567BF" w:rsidRPr="004567BF" w:rsidTr="004567B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67BF" w:rsidRPr="004567BF" w:rsidRDefault="004567BF" w:rsidP="004567B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567B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Administered expenses - Expenses not requiring appropriation</w:t>
            </w:r>
            <w:r w:rsidRPr="004567B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br/>
              <w:t>in the Budget year</w:t>
            </w:r>
            <w:r w:rsidRPr="004567BF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67BF" w:rsidRPr="004567BF" w:rsidRDefault="004567BF" w:rsidP="004567B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567B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70,945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67BF" w:rsidRPr="004567BF" w:rsidRDefault="004567BF" w:rsidP="004567B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567B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171,555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67BF" w:rsidRPr="004567BF" w:rsidRDefault="004567BF" w:rsidP="004567B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567B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-100,610</w:t>
            </w:r>
          </w:p>
        </w:tc>
      </w:tr>
      <w:tr w:rsidR="004567BF" w:rsidRPr="004567BF" w:rsidTr="004567B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67BF" w:rsidRPr="004567BF" w:rsidRDefault="004567BF" w:rsidP="004567B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567B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Departmental expenses - Departmental appropriation</w:t>
            </w:r>
            <w:r w:rsidRPr="004567BF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67BF" w:rsidRPr="004567BF" w:rsidRDefault="004567BF" w:rsidP="004567B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567B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4,192,693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67BF" w:rsidRPr="004567BF" w:rsidRDefault="004567BF" w:rsidP="004567B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567B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4,196,733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67BF" w:rsidRPr="004567BF" w:rsidRDefault="004567BF" w:rsidP="004567B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567B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-4,040</w:t>
            </w:r>
          </w:p>
        </w:tc>
      </w:tr>
      <w:tr w:rsidR="004567BF" w:rsidRPr="004567BF" w:rsidTr="004567B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67BF" w:rsidRPr="004567BF" w:rsidRDefault="004567BF" w:rsidP="004567B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567B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Departmental expenses - Expenses not requiring appropriation</w:t>
            </w:r>
            <w:r w:rsidRPr="004567B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br/>
              <w:t>in the Budget year</w:t>
            </w:r>
            <w:r w:rsidRPr="004567BF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67BF" w:rsidRPr="004567BF" w:rsidRDefault="004567BF" w:rsidP="004567B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567B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322,570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67BF" w:rsidRPr="004567BF" w:rsidRDefault="004567BF" w:rsidP="004567B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567B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259,276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67BF" w:rsidRPr="004567BF" w:rsidRDefault="004567BF" w:rsidP="004567B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567B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63,294</w:t>
            </w:r>
          </w:p>
        </w:tc>
      </w:tr>
      <w:tr w:rsidR="004567BF" w:rsidRPr="004567BF" w:rsidTr="004567B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67BF" w:rsidRPr="004567BF" w:rsidRDefault="004567BF" w:rsidP="004567B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567BF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Total expenses for Outcome 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67BF" w:rsidRPr="004567BF" w:rsidRDefault="004567BF" w:rsidP="004567B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567BF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5,957,562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67BF" w:rsidRPr="004567BF" w:rsidRDefault="004567BF" w:rsidP="004567B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567BF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5,979,270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67BF" w:rsidRPr="004567BF" w:rsidRDefault="004567BF" w:rsidP="004567B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567BF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-21,708</w:t>
            </w:r>
          </w:p>
        </w:tc>
      </w:tr>
    </w:tbl>
    <w:p w:rsidR="006F7EF6" w:rsidRDefault="006F7EF6" w:rsidP="004567BF"/>
    <w:p w:rsidR="004567BF" w:rsidRDefault="004567BF" w:rsidP="004567BF">
      <w:pPr>
        <w:pStyle w:val="fs90"/>
        <w:shd w:val="clear" w:color="auto" w:fill="FFFFFF"/>
        <w:rPr>
          <w:rFonts w:ascii="Verdana" w:hAnsi="Verdana"/>
          <w:sz w:val="15"/>
          <w:szCs w:val="15"/>
          <w:lang w:val="en"/>
        </w:rPr>
      </w:pPr>
      <w:r>
        <w:rPr>
          <w:rFonts w:ascii="Verdana" w:hAnsi="Verdana"/>
          <w:sz w:val="15"/>
          <w:szCs w:val="15"/>
          <w:lang w:val="en"/>
        </w:rPr>
        <w:t xml:space="preserve">1. Full year budget, including any subsequent adjustments made to the 2012–13 Budget, as at 2013–14 </w:t>
      </w:r>
      <w:proofErr w:type="gramStart"/>
      <w:r>
        <w:rPr>
          <w:rFonts w:ascii="Verdana" w:hAnsi="Verdana"/>
          <w:sz w:val="15"/>
          <w:szCs w:val="15"/>
          <w:lang w:val="en"/>
        </w:rPr>
        <w:t>Budget</w:t>
      </w:r>
      <w:proofErr w:type="gramEnd"/>
      <w:r>
        <w:rPr>
          <w:rFonts w:ascii="Verdana" w:hAnsi="Verdana"/>
          <w:sz w:val="15"/>
          <w:szCs w:val="15"/>
          <w:lang w:val="en"/>
        </w:rPr>
        <w:t>.</w:t>
      </w:r>
    </w:p>
    <w:p w:rsidR="004567BF" w:rsidRDefault="004567BF" w:rsidP="004567BF">
      <w:pPr>
        <w:pStyle w:val="fs90"/>
        <w:shd w:val="clear" w:color="auto" w:fill="FFFFFF"/>
        <w:rPr>
          <w:rFonts w:ascii="Verdana" w:hAnsi="Verdana"/>
          <w:sz w:val="15"/>
          <w:szCs w:val="15"/>
          <w:lang w:val="en"/>
        </w:rPr>
      </w:pPr>
      <w:r>
        <w:rPr>
          <w:rFonts w:ascii="Verdana" w:hAnsi="Verdana"/>
          <w:sz w:val="15"/>
          <w:szCs w:val="15"/>
          <w:lang w:val="en"/>
        </w:rPr>
        <w:t xml:space="preserve">2. Departmental expenses not requiring appropriation comprise unfunded depreciation expense, </w:t>
      </w:r>
      <w:proofErr w:type="spellStart"/>
      <w:r>
        <w:rPr>
          <w:rFonts w:ascii="Verdana" w:hAnsi="Verdana"/>
          <w:sz w:val="15"/>
          <w:szCs w:val="15"/>
          <w:lang w:val="en"/>
        </w:rPr>
        <w:t>amortisation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expense, resources received free of charge and operating results. Administered expenses not requiring appropriation comprise depreciation expense and net write down of assets.</w:t>
      </w:r>
    </w:p>
    <w:p w:rsidR="004567BF" w:rsidRDefault="004567BF" w:rsidP="004567BF">
      <w:pPr>
        <w:pStyle w:val="fs90"/>
        <w:shd w:val="clear" w:color="auto" w:fill="FFFFFF"/>
        <w:rPr>
          <w:rFonts w:ascii="Verdana" w:hAnsi="Verdana"/>
          <w:sz w:val="15"/>
          <w:szCs w:val="15"/>
          <w:lang w:val="en"/>
        </w:rPr>
      </w:pPr>
      <w:r>
        <w:rPr>
          <w:rFonts w:ascii="Verdana" w:hAnsi="Verdana"/>
          <w:sz w:val="15"/>
          <w:szCs w:val="15"/>
          <w:lang w:val="en"/>
        </w:rPr>
        <w:t>3. Departmental Appropriation combines expenses funded by ‘Ordinary annual services’ (‘Appropriation Act No. 1’, ‘Appropriation Act No. 3’ and ‘Revenue from independent sources’ (s31)).</w:t>
      </w:r>
    </w:p>
    <w:p w:rsidR="004567BF" w:rsidRPr="004567BF" w:rsidRDefault="004567BF" w:rsidP="004567BF">
      <w:bookmarkStart w:id="0" w:name="_GoBack"/>
      <w:bookmarkEnd w:id="0"/>
    </w:p>
    <w:sectPr w:rsidR="004567BF" w:rsidRPr="004567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0D0"/>
    <w:rsid w:val="004567BF"/>
    <w:rsid w:val="005060D0"/>
    <w:rsid w:val="0060540B"/>
    <w:rsid w:val="006F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060D0"/>
    <w:rPr>
      <w:b/>
      <w:bCs/>
    </w:rPr>
  </w:style>
  <w:style w:type="paragraph" w:customStyle="1" w:styleId="fs90">
    <w:name w:val="fs90"/>
    <w:basedOn w:val="Normal"/>
    <w:rsid w:val="004567BF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060D0"/>
    <w:rPr>
      <w:b/>
      <w:bCs/>
    </w:rPr>
  </w:style>
  <w:style w:type="paragraph" w:customStyle="1" w:styleId="fs90">
    <w:name w:val="fs90"/>
    <w:basedOn w:val="Normal"/>
    <w:rsid w:val="004567BF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9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07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61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416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058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232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805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90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96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09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539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931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394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66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94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01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68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42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801600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1155</Characters>
  <Application>Microsoft Office Word</Application>
  <DocSecurity>0</DocSecurity>
  <Lines>9</Lines>
  <Paragraphs>2</Paragraphs>
  <ScaleCrop>false</ScaleCrop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2014-02-25T22:23:00Z</dcterms:created>
  <dcterms:modified xsi:type="dcterms:W3CDTF">2014-03-04T23:20:00Z</dcterms:modified>
</cp:coreProperties>
</file>